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46F1F" w14:textId="77777777" w:rsidR="00450CDA" w:rsidRDefault="00450CDA" w:rsidP="00450CDA">
      <w:pPr>
        <w:pStyle w:val="Cmsor2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Absztrakt</w:t>
      </w:r>
    </w:p>
    <w:p w14:paraId="7687C8A8" w14:textId="77777777" w:rsidR="00450CDA" w:rsidRDefault="00450CDA" w:rsidP="00450CDA">
      <w:pPr>
        <w:pStyle w:val="Cmsor2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 Haza Szolgálatában Konferencia </w:t>
      </w:r>
    </w:p>
    <w:p w14:paraId="5229D169" w14:textId="77777777" w:rsidR="00450CDA" w:rsidRDefault="00450CDA" w:rsidP="00450CDA">
      <w:pPr>
        <w:pStyle w:val="Cmsor2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2019. november 22.</w:t>
      </w:r>
    </w:p>
    <w:p w14:paraId="29539711" w14:textId="6DD85CAF" w:rsidR="00450CDA" w:rsidRDefault="009D148A" w:rsidP="00450CDA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dr. Teleki Bálint</w:t>
      </w:r>
    </w:p>
    <w:p w14:paraId="06D72C90" w14:textId="59163832" w:rsidR="00450CDA" w:rsidRDefault="009D148A" w:rsidP="00450CDA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NKE KDI</w:t>
      </w:r>
    </w:p>
    <w:p w14:paraId="07D54B6F" w14:textId="7228DC0E" w:rsidR="00450CDA" w:rsidRDefault="009D148A" w:rsidP="00450CDA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Teleki.Balint@uni-nke.hu</w:t>
      </w:r>
    </w:p>
    <w:p w14:paraId="1CBBA0DE" w14:textId="1C0A9747" w:rsidR="00450CDA" w:rsidRDefault="009D148A" w:rsidP="00450CDA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Az Európai Bankunió egységes szanálási mechanizmusa.</w:t>
      </w:r>
    </w:p>
    <w:p w14:paraId="65171952" w14:textId="7C0265F4" w:rsidR="00450CDA" w:rsidRDefault="009D148A" w:rsidP="00450CDA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Európai Bankunió, egységes szanálási mechanizmus, SRM,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Veneto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-paradoxon</w:t>
      </w:r>
    </w:p>
    <w:p w14:paraId="4233533A" w14:textId="77777777" w:rsidR="00450CDA" w:rsidRDefault="00450CDA" w:rsidP="00450CDA"/>
    <w:p w14:paraId="719EB777" w14:textId="5721642A" w:rsidR="00450CDA" w:rsidRPr="00F22A1A" w:rsidRDefault="00CF4898" w:rsidP="00F22A1A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F4898">
        <w:rPr>
          <w:rFonts w:ascii="Times New Roman" w:hAnsi="Times New Roman" w:cs="Times New Roman"/>
          <w:bCs/>
          <w:sz w:val="24"/>
          <w:szCs w:val="24"/>
        </w:rPr>
        <w:t>Az Európai Bankunió egyik mechanizmusa az egységes szanálási mechanizmus (</w:t>
      </w:r>
      <w:proofErr w:type="spellStart"/>
      <w:r w:rsidRPr="00CF4898">
        <w:rPr>
          <w:rFonts w:ascii="Times New Roman" w:hAnsi="Times New Roman" w:cs="Times New Roman"/>
          <w:bCs/>
          <w:sz w:val="24"/>
          <w:szCs w:val="24"/>
        </w:rPr>
        <w:t>Single</w:t>
      </w:r>
      <w:proofErr w:type="spellEnd"/>
      <w:r w:rsidRPr="00CF48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4898">
        <w:rPr>
          <w:rFonts w:ascii="Times New Roman" w:hAnsi="Times New Roman" w:cs="Times New Roman"/>
          <w:bCs/>
          <w:sz w:val="24"/>
          <w:szCs w:val="24"/>
        </w:rPr>
        <w:t>Resolution</w:t>
      </w:r>
      <w:proofErr w:type="spellEnd"/>
      <w:r w:rsidRPr="00CF489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4898">
        <w:rPr>
          <w:rFonts w:ascii="Times New Roman" w:hAnsi="Times New Roman" w:cs="Times New Roman"/>
          <w:bCs/>
          <w:sz w:val="24"/>
          <w:szCs w:val="24"/>
        </w:rPr>
        <w:t>Mechanism</w:t>
      </w:r>
      <w:proofErr w:type="spellEnd"/>
      <w:r w:rsidRPr="00CF4898">
        <w:rPr>
          <w:rFonts w:ascii="Times New Roman" w:hAnsi="Times New Roman" w:cs="Times New Roman"/>
          <w:bCs/>
          <w:sz w:val="24"/>
          <w:szCs w:val="24"/>
        </w:rPr>
        <w:t xml:space="preserve"> - SRM). Területi hatálya az uniós tagsághoz kötődik. Célja a csődközeli helyzetbe került bankok rendezett módon történő szanálása, amely minimális terhet ró az adófizetőkre és a reálgazdaságra. Végrehajtásában legfontosabb szerepe az Európai Központi Banknak, </w:t>
      </w:r>
      <w:proofErr w:type="gramStart"/>
      <w:r w:rsidRPr="00CF4898">
        <w:rPr>
          <w:rFonts w:ascii="Times New Roman" w:hAnsi="Times New Roman" w:cs="Times New Roman"/>
          <w:bCs/>
          <w:sz w:val="24"/>
          <w:szCs w:val="24"/>
        </w:rPr>
        <w:t>az Egységes Szanálási Testületnek,</w:t>
      </w:r>
      <w:proofErr w:type="gramEnd"/>
      <w:r w:rsidRPr="00CF4898">
        <w:rPr>
          <w:rFonts w:ascii="Times New Roman" w:hAnsi="Times New Roman" w:cs="Times New Roman"/>
          <w:bCs/>
          <w:sz w:val="24"/>
          <w:szCs w:val="24"/>
        </w:rPr>
        <w:t xml:space="preserve"> és a nemzeti szanálási hatóságoknak van. Az eddigi tapasztalatok szerint a mechanizmus aránylag jól működik (pl. ABLV Bank </w:t>
      </w:r>
      <w:proofErr w:type="spellStart"/>
      <w:r w:rsidRPr="00CF4898">
        <w:rPr>
          <w:rFonts w:ascii="Times New Roman" w:hAnsi="Times New Roman" w:cs="Times New Roman"/>
          <w:bCs/>
          <w:sz w:val="24"/>
          <w:szCs w:val="24"/>
        </w:rPr>
        <w:t>Latvia</w:t>
      </w:r>
      <w:proofErr w:type="spellEnd"/>
      <w:r w:rsidRPr="00CF4898">
        <w:rPr>
          <w:rFonts w:ascii="Times New Roman" w:hAnsi="Times New Roman" w:cs="Times New Roman"/>
          <w:bCs/>
          <w:sz w:val="24"/>
          <w:szCs w:val="24"/>
        </w:rPr>
        <w:t xml:space="preserve"> esete), ugyanakkor működése kérdéseket is felvet (pl. </w:t>
      </w:r>
      <w:proofErr w:type="spellStart"/>
      <w:r w:rsidRPr="00CF4898">
        <w:rPr>
          <w:rFonts w:ascii="Times New Roman" w:hAnsi="Times New Roman" w:cs="Times New Roman"/>
          <w:bCs/>
          <w:sz w:val="24"/>
          <w:szCs w:val="24"/>
        </w:rPr>
        <w:t>Veneto</w:t>
      </w:r>
      <w:proofErr w:type="spellEnd"/>
      <w:r w:rsidRPr="00CF4898">
        <w:rPr>
          <w:rFonts w:ascii="Times New Roman" w:hAnsi="Times New Roman" w:cs="Times New Roman"/>
          <w:bCs/>
          <w:sz w:val="24"/>
          <w:szCs w:val="24"/>
        </w:rPr>
        <w:t xml:space="preserve">-paradoxon).   </w:t>
      </w:r>
      <w:bookmarkStart w:id="0" w:name="_GoBack"/>
      <w:bookmarkEnd w:id="0"/>
      <w:r w:rsidR="005F0F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A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7C4BA1B" w14:textId="69B00609" w:rsidR="00662F9C" w:rsidRPr="00450CDA" w:rsidRDefault="00662F9C" w:rsidP="00450CDA"/>
    <w:sectPr w:rsidR="00662F9C" w:rsidRPr="00450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31"/>
    <w:rsid w:val="001A61DD"/>
    <w:rsid w:val="00232D31"/>
    <w:rsid w:val="00347C75"/>
    <w:rsid w:val="003D490A"/>
    <w:rsid w:val="003F6727"/>
    <w:rsid w:val="00450CDA"/>
    <w:rsid w:val="004C43E5"/>
    <w:rsid w:val="004C7777"/>
    <w:rsid w:val="005B3C1B"/>
    <w:rsid w:val="005E54E1"/>
    <w:rsid w:val="005F0FB7"/>
    <w:rsid w:val="00605C93"/>
    <w:rsid w:val="00662F9C"/>
    <w:rsid w:val="00697352"/>
    <w:rsid w:val="00731FD3"/>
    <w:rsid w:val="009D148A"/>
    <w:rsid w:val="009D3551"/>
    <w:rsid w:val="009E2929"/>
    <w:rsid w:val="00A016E8"/>
    <w:rsid w:val="00BB2F08"/>
    <w:rsid w:val="00BD55C0"/>
    <w:rsid w:val="00C53974"/>
    <w:rsid w:val="00CF4898"/>
    <w:rsid w:val="00D1456E"/>
    <w:rsid w:val="00DF69D7"/>
    <w:rsid w:val="00F17710"/>
    <w:rsid w:val="00F22A1A"/>
    <w:rsid w:val="00FC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FE748"/>
  <w15:chartTrackingRefBased/>
  <w15:docId w15:val="{3DB1D08D-FAE1-482C-B0FF-E322E6ED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50CDA"/>
    <w:pPr>
      <w:spacing w:line="256" w:lineRule="auto"/>
    </w:p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50C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450C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0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739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Teleki Bálint</dc:creator>
  <cp:keywords/>
  <dc:description/>
  <cp:lastModifiedBy>Teleki Bálint</cp:lastModifiedBy>
  <cp:revision>23</cp:revision>
  <dcterms:created xsi:type="dcterms:W3CDTF">2019-11-14T14:45:00Z</dcterms:created>
  <dcterms:modified xsi:type="dcterms:W3CDTF">2019-11-14T15:18:00Z</dcterms:modified>
</cp:coreProperties>
</file>