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CA5" w:rsidRDefault="00A50CA5" w:rsidP="00A50CA5">
      <w:pPr>
        <w:pStyle w:val="Cmsor2"/>
        <w:jc w:val="center"/>
        <w:rPr>
          <w:rFonts w:ascii="Times New Roman" w:hAnsi="Times New Roman" w:cs="Times New Roman"/>
          <w:color w:val="auto"/>
        </w:rPr>
      </w:pPr>
      <w:r>
        <w:rPr>
          <w:rFonts w:ascii="Times New Roman" w:hAnsi="Times New Roman" w:cs="Times New Roman"/>
          <w:color w:val="auto"/>
        </w:rPr>
        <w:t>Absztrakt</w:t>
      </w:r>
    </w:p>
    <w:p w:rsidR="00A50CA5" w:rsidRDefault="00A50CA5" w:rsidP="00A50CA5">
      <w:pPr>
        <w:pStyle w:val="Cmsor2"/>
        <w:jc w:val="center"/>
        <w:rPr>
          <w:rFonts w:ascii="Times New Roman" w:hAnsi="Times New Roman" w:cs="Times New Roman"/>
          <w:color w:val="auto"/>
        </w:rPr>
      </w:pPr>
      <w:r>
        <w:rPr>
          <w:rFonts w:ascii="Times New Roman" w:hAnsi="Times New Roman" w:cs="Times New Roman"/>
          <w:color w:val="auto"/>
        </w:rPr>
        <w:t xml:space="preserve">A Haza Szolgálatában Konferencia </w:t>
      </w:r>
    </w:p>
    <w:p w:rsidR="00A50CA5" w:rsidRDefault="00A50CA5" w:rsidP="00A50CA5">
      <w:pPr>
        <w:pStyle w:val="Cmsor2"/>
        <w:jc w:val="center"/>
        <w:rPr>
          <w:rFonts w:ascii="Times New Roman" w:hAnsi="Times New Roman" w:cs="Times New Roman"/>
          <w:color w:val="auto"/>
        </w:rPr>
      </w:pPr>
      <w:r>
        <w:rPr>
          <w:rFonts w:ascii="Times New Roman" w:hAnsi="Times New Roman" w:cs="Times New Roman"/>
          <w:color w:val="auto"/>
        </w:rPr>
        <w:t>2019. november 22.</w:t>
      </w:r>
    </w:p>
    <w:p w:rsidR="00A50CA5" w:rsidRDefault="00A50CA5" w:rsidP="00A50CA5">
      <w:pPr>
        <w:pStyle w:val="Cmsor2"/>
        <w:rPr>
          <w:rFonts w:ascii="Times New Roman" w:hAnsi="Times New Roman" w:cs="Times New Roman"/>
          <w:color w:val="auto"/>
          <w:sz w:val="24"/>
          <w:szCs w:val="24"/>
        </w:rPr>
      </w:pPr>
      <w:r>
        <w:rPr>
          <w:rFonts w:eastAsia="Calibri" w:cs="Times New Roman"/>
          <w:spacing w:val="-1"/>
        </w:rPr>
        <w:t>Amberg Erzsébet</w:t>
      </w:r>
      <w:r>
        <w:rPr>
          <w:rFonts w:ascii="Times New Roman" w:hAnsi="Times New Roman" w:cs="Times New Roman"/>
          <w:color w:val="auto"/>
          <w:sz w:val="24"/>
          <w:szCs w:val="24"/>
        </w:rPr>
        <w:t xml:space="preserve"> </w:t>
      </w:r>
    </w:p>
    <w:p w:rsidR="00A50CA5" w:rsidRDefault="00A50CA5" w:rsidP="00A50CA5">
      <w:pPr>
        <w:pStyle w:val="Cmsor2"/>
        <w:rPr>
          <w:rFonts w:ascii="Times New Roman" w:hAnsi="Times New Roman" w:cs="Times New Roman"/>
          <w:color w:val="auto"/>
          <w:sz w:val="24"/>
          <w:szCs w:val="24"/>
        </w:rPr>
      </w:pPr>
      <w:r>
        <w:rPr>
          <w:rFonts w:ascii="Times New Roman" w:hAnsi="Times New Roman" w:cs="Times New Roman"/>
          <w:color w:val="auto"/>
          <w:sz w:val="24"/>
          <w:szCs w:val="24"/>
        </w:rPr>
        <w:t>Nemzeti Közszolgálati Egyetem</w:t>
      </w:r>
    </w:p>
    <w:p w:rsidR="00A50CA5" w:rsidRDefault="00A50CA5" w:rsidP="00A50CA5">
      <w:pPr>
        <w:pStyle w:val="Cmsor2"/>
        <w:rPr>
          <w:rFonts w:ascii="Times New Roman" w:hAnsi="Times New Roman" w:cs="Times New Roman"/>
          <w:color w:val="auto"/>
          <w:sz w:val="24"/>
          <w:szCs w:val="24"/>
        </w:rPr>
      </w:pPr>
      <w:r>
        <w:rPr>
          <w:rFonts w:ascii="Times New Roman" w:hAnsi="Times New Roman" w:cs="Times New Roman"/>
          <w:color w:val="auto"/>
          <w:sz w:val="24"/>
          <w:szCs w:val="24"/>
        </w:rPr>
        <w:t>amberg.erzsebet@uni-nke.hu</w:t>
      </w:r>
    </w:p>
    <w:p w:rsidR="00A50CA5" w:rsidRDefault="00A50CA5" w:rsidP="00A50CA5">
      <w:pPr>
        <w:pStyle w:val="Cmsor2"/>
        <w:rPr>
          <w:rFonts w:ascii="Times New Roman" w:hAnsi="Times New Roman" w:cs="Times New Roman"/>
          <w:color w:val="auto"/>
          <w:sz w:val="24"/>
          <w:szCs w:val="24"/>
        </w:rPr>
      </w:pPr>
      <w:r>
        <w:rPr>
          <w:rFonts w:eastAsia="Calibri" w:cs="Times New Roman"/>
          <w:spacing w:val="-1"/>
        </w:rPr>
        <w:t>Büntetőjog mint ultima ratio a büntetőbírói gyakorlatban</w:t>
      </w:r>
      <w:r>
        <w:rPr>
          <w:rFonts w:ascii="Times New Roman" w:hAnsi="Times New Roman" w:cs="Times New Roman"/>
          <w:color w:val="auto"/>
          <w:sz w:val="24"/>
          <w:szCs w:val="24"/>
        </w:rPr>
        <w:t xml:space="preserve"> </w:t>
      </w:r>
    </w:p>
    <w:p w:rsidR="00A50CA5" w:rsidRDefault="00A50CA5" w:rsidP="00A50CA5">
      <w:pPr>
        <w:rPr>
          <w:rFonts w:asciiTheme="minorHAnsi" w:hAnsiTheme="minorHAnsi"/>
          <w:sz w:val="22"/>
        </w:rPr>
      </w:pPr>
      <w:r>
        <w:rPr>
          <w:rFonts w:asciiTheme="minorHAnsi" w:hAnsiTheme="minorHAnsi"/>
          <w:sz w:val="22"/>
        </w:rPr>
        <w:t>büntetőjogi felelősség, ultima ratio, szubszidiaritás, véleménynyilvánítás szabadsága, véleménybűncselekmények, bírói gyakorlat</w:t>
      </w:r>
    </w:p>
    <w:p w:rsidR="008C1912" w:rsidRPr="008205AB" w:rsidRDefault="00E06988" w:rsidP="008C1912">
      <w:pPr>
        <w:rPr>
          <w:rFonts w:eastAsia="Calibri" w:cs="Times New Roman"/>
          <w:spacing w:val="-1"/>
        </w:rPr>
      </w:pPr>
      <w:r>
        <w:rPr>
          <w:rFonts w:eastAsia="Calibri" w:cs="Times New Roman"/>
          <w:spacing w:val="-1"/>
        </w:rPr>
        <w:t>Absztrakt</w:t>
      </w:r>
    </w:p>
    <w:p w:rsidR="008C1912" w:rsidRPr="008205AB" w:rsidRDefault="008C1912" w:rsidP="008C1912">
      <w:pPr>
        <w:rPr>
          <w:sz w:val="23"/>
          <w:szCs w:val="23"/>
        </w:rPr>
      </w:pPr>
      <w:r w:rsidRPr="008205AB">
        <w:rPr>
          <w:lang w:eastAsia="hu-HU"/>
        </w:rPr>
        <w:t>A büntetőjog mint ultima ratio</w:t>
      </w:r>
      <w:r w:rsidR="00D95F87">
        <w:rPr>
          <w:lang w:eastAsia="hu-HU"/>
        </w:rPr>
        <w:t>, azaz végső eszköz a jogi felelősségrendszerben</w:t>
      </w:r>
      <w:r w:rsidRPr="008205AB">
        <w:rPr>
          <w:lang w:eastAsia="hu-HU"/>
        </w:rPr>
        <w:t xml:space="preserve"> a</w:t>
      </w:r>
      <w:r w:rsidRPr="008205AB">
        <w:rPr>
          <w:lang w:eastAsia="hu-HU"/>
        </w:rPr>
        <w:t xml:space="preserve">z </w:t>
      </w:r>
      <w:r w:rsidRPr="008205AB">
        <w:rPr>
          <w:lang w:eastAsia="hu-HU"/>
        </w:rPr>
        <w:t xml:space="preserve">alkotmányos büntetőjog követelményrendszerének részeként jelent meg a </w:t>
      </w:r>
      <w:r w:rsidR="008205AB">
        <w:rPr>
          <w:lang w:eastAsia="hu-HU"/>
        </w:rPr>
        <w:t xml:space="preserve">közösség elleni izgatás bűncselekmény alkotmányosságát a véleménynyilvánítás alapjoga tükrében vizsgáló </w:t>
      </w:r>
      <w:r w:rsidRPr="008205AB">
        <w:rPr>
          <w:sz w:val="23"/>
          <w:szCs w:val="23"/>
        </w:rPr>
        <w:t xml:space="preserve">30/1992. (V. 26.) </w:t>
      </w:r>
      <w:r w:rsidR="00D95F87">
        <w:rPr>
          <w:sz w:val="23"/>
          <w:szCs w:val="23"/>
        </w:rPr>
        <w:t>ABh-ban.</w:t>
      </w:r>
    </w:p>
    <w:p w:rsidR="008205AB" w:rsidRDefault="00D95F87" w:rsidP="008C1912">
      <w:r>
        <w:rPr>
          <w:rFonts w:cs="Times New Roman"/>
          <w:szCs w:val="20"/>
        </w:rPr>
        <w:t>Több</w:t>
      </w:r>
      <w:r w:rsidR="008C1912" w:rsidRPr="008205AB">
        <w:rPr>
          <w:rFonts w:cs="Times New Roman"/>
          <w:szCs w:val="20"/>
        </w:rPr>
        <w:t>,</w:t>
      </w:r>
      <w:r>
        <w:rPr>
          <w:rFonts w:cs="Times New Roman"/>
          <w:szCs w:val="20"/>
        </w:rPr>
        <w:t xml:space="preserve"> </w:t>
      </w:r>
      <w:r w:rsidR="008C1912" w:rsidRPr="008205AB">
        <w:rPr>
          <w:rFonts w:cs="Times New Roman"/>
          <w:szCs w:val="20"/>
        </w:rPr>
        <w:t>mint száz</w:t>
      </w:r>
      <w:r>
        <w:rPr>
          <w:rFonts w:cs="Times New Roman"/>
          <w:szCs w:val="20"/>
        </w:rPr>
        <w:t xml:space="preserve"> büntetőper vizsgálata azt mutatja, hogy </w:t>
      </w:r>
      <w:r>
        <w:t>az</w:t>
      </w:r>
      <w:r w:rsidR="008205AB" w:rsidRPr="009C2029">
        <w:t xml:space="preserve"> ultima ratio hivatkozás leggyakrabban az ítéletek büntetéskiszabási részében</w:t>
      </w:r>
      <w:r>
        <w:t xml:space="preserve"> az arányossággal összefüggésben</w:t>
      </w:r>
      <w:r w:rsidR="008205AB" w:rsidRPr="009C2029">
        <w:t xml:space="preserve"> tűn</w:t>
      </w:r>
      <w:r w:rsidR="009C2029" w:rsidRPr="009C2029">
        <w:t>ik</w:t>
      </w:r>
      <w:r w:rsidR="008205AB" w:rsidRPr="009C2029">
        <w:t xml:space="preserve"> fel</w:t>
      </w:r>
      <w:r w:rsidR="009C2029" w:rsidRPr="009C2029">
        <w:t xml:space="preserve">, használata </w:t>
      </w:r>
      <w:r>
        <w:t>típusos</w:t>
      </w:r>
      <w:r w:rsidR="009C2029" w:rsidRPr="009C2029">
        <w:t xml:space="preserve"> </w:t>
      </w:r>
      <w:r>
        <w:t>az ún. véleménybűncselekmények elbírálásakor, j</w:t>
      </w:r>
      <w:r w:rsidR="009C2029" w:rsidRPr="009C2029">
        <w:t>ellemző</w:t>
      </w:r>
      <w:r>
        <w:t xml:space="preserve">en </w:t>
      </w:r>
      <w:r w:rsidR="008205AB" w:rsidRPr="009C2029">
        <w:t>marginális jelleggel szolgálja a döntés legitimizá</w:t>
      </w:r>
      <w:r w:rsidR="009C2029" w:rsidRPr="009C2029">
        <w:t>ció</w:t>
      </w:r>
      <w:r>
        <w:t>ját.</w:t>
      </w:r>
    </w:p>
    <w:p w:rsidR="00A50CA5" w:rsidRDefault="00A50CA5" w:rsidP="00A50CA5">
      <w:pPr>
        <w:pStyle w:val="Cmsor2"/>
        <w:jc w:val="center"/>
        <w:rPr>
          <w:rFonts w:ascii="Times New Roman" w:hAnsi="Times New Roman" w:cs="Times New Roman"/>
          <w:color w:val="auto"/>
          <w:lang w:val="en-AU"/>
        </w:rPr>
      </w:pPr>
      <w:bookmarkStart w:id="0" w:name="_GoBack"/>
      <w:bookmarkEnd w:id="0"/>
      <w:r>
        <w:rPr>
          <w:rFonts w:ascii="Times New Roman" w:hAnsi="Times New Roman" w:cs="Times New Roman"/>
          <w:color w:val="auto"/>
          <w:lang w:val="en-AU"/>
        </w:rPr>
        <w:t>Abstract</w:t>
      </w:r>
    </w:p>
    <w:p w:rsidR="00A50CA5" w:rsidRDefault="00A50CA5" w:rsidP="00A50CA5">
      <w:pPr>
        <w:pStyle w:val="Cmsor2"/>
        <w:jc w:val="center"/>
        <w:rPr>
          <w:rFonts w:ascii="Times New Roman" w:hAnsi="Times New Roman" w:cs="Times New Roman"/>
          <w:color w:val="auto"/>
          <w:lang w:val="en-AU"/>
        </w:rPr>
      </w:pPr>
      <w:r>
        <w:rPr>
          <w:rFonts w:ascii="Times New Roman" w:hAnsi="Times New Roman" w:cs="Times New Roman"/>
          <w:color w:val="auto"/>
          <w:lang w:val="en-AU"/>
        </w:rPr>
        <w:t>In the Service of the Nation Conference</w:t>
      </w:r>
    </w:p>
    <w:p w:rsidR="00A50CA5" w:rsidRDefault="00A50CA5" w:rsidP="00A50CA5">
      <w:pPr>
        <w:pStyle w:val="Cmsor2"/>
        <w:jc w:val="center"/>
        <w:rPr>
          <w:rFonts w:ascii="Times New Roman" w:hAnsi="Times New Roman" w:cs="Times New Roman"/>
          <w:color w:val="auto"/>
          <w:lang w:val="en-AU"/>
        </w:rPr>
      </w:pPr>
      <w:r>
        <w:rPr>
          <w:rFonts w:ascii="Times New Roman" w:hAnsi="Times New Roman" w:cs="Times New Roman"/>
          <w:color w:val="auto"/>
          <w:lang w:val="en-AU"/>
        </w:rPr>
        <w:t>22 November 2019</w:t>
      </w:r>
    </w:p>
    <w:p w:rsidR="00A50CA5" w:rsidRDefault="00A50CA5" w:rsidP="00A50CA5">
      <w:pPr>
        <w:pStyle w:val="Cmsor2"/>
        <w:rPr>
          <w:rFonts w:ascii="Times New Roman" w:hAnsi="Times New Roman" w:cs="Times New Roman"/>
          <w:color w:val="auto"/>
          <w:sz w:val="24"/>
          <w:szCs w:val="24"/>
          <w:lang w:val="en-AU"/>
        </w:rPr>
      </w:pPr>
      <w:r>
        <w:rPr>
          <w:rFonts w:ascii="Times New Roman" w:hAnsi="Times New Roman" w:cs="Times New Roman"/>
          <w:color w:val="auto"/>
          <w:sz w:val="24"/>
          <w:szCs w:val="24"/>
          <w:lang w:val="en-AU"/>
        </w:rPr>
        <w:t>Erzsébet Amberg</w:t>
      </w:r>
    </w:p>
    <w:p w:rsidR="00A50CA5" w:rsidRDefault="00A50CA5" w:rsidP="00A50CA5">
      <w:pPr>
        <w:pStyle w:val="Cmsor2"/>
        <w:rPr>
          <w:rFonts w:ascii="Times New Roman" w:hAnsi="Times New Roman" w:cs="Times New Roman"/>
          <w:color w:val="auto"/>
          <w:sz w:val="24"/>
          <w:szCs w:val="24"/>
          <w:lang w:val="en-AU"/>
        </w:rPr>
      </w:pPr>
      <w:r>
        <w:rPr>
          <w:rFonts w:ascii="Times New Roman" w:hAnsi="Times New Roman" w:cs="Times New Roman"/>
          <w:color w:val="auto"/>
          <w:sz w:val="24"/>
          <w:szCs w:val="24"/>
          <w:lang w:val="en-AU"/>
        </w:rPr>
        <w:t>National University of Public Service</w:t>
      </w:r>
    </w:p>
    <w:p w:rsidR="00A50CA5" w:rsidRDefault="00A50CA5" w:rsidP="00A50CA5">
      <w:pPr>
        <w:pStyle w:val="Cmsor2"/>
        <w:rPr>
          <w:rFonts w:ascii="Times New Roman" w:hAnsi="Times New Roman" w:cs="Times New Roman"/>
          <w:color w:val="auto"/>
          <w:sz w:val="24"/>
          <w:szCs w:val="24"/>
          <w:lang w:val="en-AU"/>
        </w:rPr>
      </w:pPr>
      <w:r>
        <w:rPr>
          <w:rFonts w:ascii="Times New Roman" w:hAnsi="Times New Roman" w:cs="Times New Roman"/>
          <w:color w:val="auto"/>
          <w:sz w:val="24"/>
          <w:szCs w:val="24"/>
          <w:lang w:val="en-AU"/>
        </w:rPr>
        <w:t>amberg.erzsebet@uni-nke.hu</w:t>
      </w:r>
    </w:p>
    <w:p w:rsidR="00A50CA5" w:rsidRDefault="00A50CA5" w:rsidP="00A50CA5">
      <w:pPr>
        <w:pStyle w:val="Cmsor2"/>
        <w:rPr>
          <w:rFonts w:ascii="Times New Roman" w:hAnsi="Times New Roman" w:cs="Times New Roman"/>
          <w:color w:val="auto"/>
          <w:sz w:val="24"/>
          <w:szCs w:val="24"/>
          <w:lang w:val="en-AU"/>
        </w:rPr>
      </w:pPr>
      <w:r>
        <w:t>Criminal law as ultima ratio (last resort) in the criminal justice</w:t>
      </w:r>
      <w:r>
        <w:rPr>
          <w:rFonts w:ascii="Times New Roman" w:hAnsi="Times New Roman" w:cs="Times New Roman"/>
          <w:color w:val="auto"/>
          <w:sz w:val="24"/>
          <w:szCs w:val="24"/>
          <w:lang w:val="en-AU"/>
        </w:rPr>
        <w:t xml:space="preserve"> </w:t>
      </w:r>
    </w:p>
    <w:p w:rsidR="00A50CA5" w:rsidRDefault="00A50CA5" w:rsidP="00A50CA5">
      <w:pPr>
        <w:rPr>
          <w:rFonts w:cs="Times New Roman"/>
          <w:sz w:val="22"/>
          <w:lang w:val="en-AU"/>
        </w:rPr>
      </w:pPr>
      <w:r>
        <w:rPr>
          <w:rFonts w:cs="Times New Roman"/>
          <w:sz w:val="22"/>
          <w:lang w:val="en-AU"/>
        </w:rPr>
        <w:t>criminal law, criminal liablity, ultima ratio (last resort), subsidiarity, freedom of speech, opinion crimes, criminal justice</w:t>
      </w:r>
    </w:p>
    <w:p w:rsidR="00D95F87" w:rsidRDefault="00A50CA5" w:rsidP="008C1912">
      <w:r>
        <w:t>A</w:t>
      </w:r>
      <w:r w:rsidR="00E06988">
        <w:t>bstract</w:t>
      </w:r>
    </w:p>
    <w:p w:rsidR="00E06988" w:rsidRDefault="00E06988" w:rsidP="00E06988">
      <w:r>
        <w:t>The requirement "criminal law as ultima ratio (last resort) in the legal liability system" derives from the Contitutional Court Decision No 30/1992 (V. 26.) on the criminal act of incitement against a community.</w:t>
      </w:r>
    </w:p>
    <w:p w:rsidR="00D95F87" w:rsidRPr="008205AB" w:rsidRDefault="00E06988" w:rsidP="00E06988">
      <w:r>
        <w:t>Examination of more than one hundred criminal cases shows that the ultima ratio reference appears most frequently in the sanctioning section of judgments in the context of proportionality, and its use is common in connection with opinion crimes. The ultima ratio clause legitimizes the decision, typically as a marginal argument.</w:t>
      </w:r>
    </w:p>
    <w:sectPr w:rsidR="00D95F87" w:rsidRPr="008205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74B" w:rsidRDefault="0024074B" w:rsidP="008C1912">
      <w:pPr>
        <w:spacing w:line="240" w:lineRule="auto"/>
      </w:pPr>
      <w:r>
        <w:separator/>
      </w:r>
    </w:p>
  </w:endnote>
  <w:endnote w:type="continuationSeparator" w:id="0">
    <w:p w:rsidR="0024074B" w:rsidRDefault="0024074B" w:rsidP="008C19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74B" w:rsidRDefault="0024074B" w:rsidP="008C1912">
      <w:pPr>
        <w:spacing w:line="240" w:lineRule="auto"/>
      </w:pPr>
      <w:r>
        <w:separator/>
      </w:r>
    </w:p>
  </w:footnote>
  <w:footnote w:type="continuationSeparator" w:id="0">
    <w:p w:rsidR="0024074B" w:rsidRDefault="0024074B" w:rsidP="008C19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00892"/>
    <w:multiLevelType w:val="hybridMultilevel"/>
    <w:tmpl w:val="FCE803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12"/>
    <w:rsid w:val="0024074B"/>
    <w:rsid w:val="008205AB"/>
    <w:rsid w:val="008C1912"/>
    <w:rsid w:val="00967C1A"/>
    <w:rsid w:val="009C2029"/>
    <w:rsid w:val="00A50CA5"/>
    <w:rsid w:val="00BC75B1"/>
    <w:rsid w:val="00C713E2"/>
    <w:rsid w:val="00D95F87"/>
    <w:rsid w:val="00E06988"/>
    <w:rsid w:val="00F934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7570"/>
  <w15:chartTrackingRefBased/>
  <w15:docId w15:val="{89D5F891-CD44-43D6-A194-6FBCE6E0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C1912"/>
    <w:pPr>
      <w:spacing w:after="0" w:line="360" w:lineRule="auto"/>
      <w:jc w:val="both"/>
    </w:pPr>
    <w:rPr>
      <w:rFonts w:ascii="Times New Roman" w:hAnsi="Times New Roman"/>
      <w:sz w:val="24"/>
    </w:rPr>
  </w:style>
  <w:style w:type="paragraph" w:styleId="Cmsor2">
    <w:name w:val="heading 2"/>
    <w:basedOn w:val="Norml"/>
    <w:next w:val="Norml"/>
    <w:link w:val="Cmsor2Char"/>
    <w:uiPriority w:val="9"/>
    <w:semiHidden/>
    <w:unhideWhenUsed/>
    <w:qFormat/>
    <w:rsid w:val="00A50CA5"/>
    <w:pPr>
      <w:keepNext/>
      <w:keepLines/>
      <w:spacing w:before="40" w:line="256" w:lineRule="auto"/>
      <w:jc w:val="left"/>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 Char Char Char Char Char, Char Char Char Char Char Char Char Char Char, Char Char Char Char Char Char Char Char,Footnote,Footnote Text, Char,Char Char Char Char Char,Char Char Char Char Char Char Char Char Char,Char"/>
    <w:basedOn w:val="Norml"/>
    <w:link w:val="LbjegyzetszvegChar"/>
    <w:uiPriority w:val="99"/>
    <w:unhideWhenUsed/>
    <w:rsid w:val="008C1912"/>
    <w:rPr>
      <w:sz w:val="20"/>
      <w:szCs w:val="20"/>
    </w:rPr>
  </w:style>
  <w:style w:type="character" w:customStyle="1" w:styleId="LbjegyzetszvegChar">
    <w:name w:val="Lábjegyzetszöveg Char"/>
    <w:aliases w:val=" Char Char Char Char Char Char, Char Char Char Char Char Char Char Char Char Char, Char Char Char Char Char Char Char Char Char1,Footnote Char,Footnote Text Char, Char Char,Char Char Char Char Char Char,Char Char"/>
    <w:basedOn w:val="Bekezdsalapbettpusa"/>
    <w:link w:val="Lbjegyzetszveg"/>
    <w:uiPriority w:val="99"/>
    <w:rsid w:val="008C1912"/>
    <w:rPr>
      <w:rFonts w:ascii="Times New Roman" w:hAnsi="Times New Roman"/>
      <w:sz w:val="20"/>
      <w:szCs w:val="20"/>
    </w:rPr>
  </w:style>
  <w:style w:type="character" w:styleId="Lbjegyzet-hivatkozs">
    <w:name w:val="footnote reference"/>
    <w:aliases w:val="Footnote Reference Superscript,Footnote symbol"/>
    <w:basedOn w:val="Bekezdsalapbettpusa"/>
    <w:uiPriority w:val="99"/>
    <w:unhideWhenUsed/>
    <w:rsid w:val="008C1912"/>
    <w:rPr>
      <w:vertAlign w:val="superscript"/>
    </w:rPr>
  </w:style>
  <w:style w:type="character" w:styleId="Hiperhivatkozs">
    <w:name w:val="Hyperlink"/>
    <w:basedOn w:val="Bekezdsalapbettpusa"/>
    <w:uiPriority w:val="99"/>
    <w:unhideWhenUsed/>
    <w:rsid w:val="008C1912"/>
    <w:rPr>
      <w:color w:val="0563C1" w:themeColor="hyperlink"/>
      <w:u w:val="single"/>
    </w:rPr>
  </w:style>
  <w:style w:type="paragraph" w:styleId="Listaszerbekezds">
    <w:name w:val="List Paragraph"/>
    <w:basedOn w:val="Norml"/>
    <w:uiPriority w:val="1"/>
    <w:qFormat/>
    <w:rsid w:val="008C1912"/>
    <w:pPr>
      <w:ind w:left="720"/>
      <w:contextualSpacing/>
    </w:pPr>
  </w:style>
  <w:style w:type="character" w:customStyle="1" w:styleId="Cmsor2Char">
    <w:name w:val="Címsor 2 Char"/>
    <w:basedOn w:val="Bekezdsalapbettpusa"/>
    <w:link w:val="Cmsor2"/>
    <w:uiPriority w:val="9"/>
    <w:semiHidden/>
    <w:rsid w:val="00A50CA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26708">
      <w:bodyDiv w:val="1"/>
      <w:marLeft w:val="0"/>
      <w:marRight w:val="0"/>
      <w:marTop w:val="0"/>
      <w:marBottom w:val="0"/>
      <w:divBdr>
        <w:top w:val="none" w:sz="0" w:space="0" w:color="auto"/>
        <w:left w:val="none" w:sz="0" w:space="0" w:color="auto"/>
        <w:bottom w:val="none" w:sz="0" w:space="0" w:color="auto"/>
        <w:right w:val="none" w:sz="0" w:space="0" w:color="auto"/>
      </w:divBdr>
    </w:div>
    <w:div w:id="213578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230</Words>
  <Characters>1592</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AmbergE</dc:creator>
  <cp:keywords/>
  <dc:description/>
  <cp:lastModifiedBy>AmbergE</cp:lastModifiedBy>
  <cp:revision>2</cp:revision>
  <dcterms:created xsi:type="dcterms:W3CDTF">2019-11-15T08:51:00Z</dcterms:created>
  <dcterms:modified xsi:type="dcterms:W3CDTF">2019-11-15T09:57:00Z</dcterms:modified>
</cp:coreProperties>
</file>